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17" w:rsidRPr="006B4D17" w:rsidRDefault="006B4D17" w:rsidP="006B4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5008"/>
      </w:tblGrid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Закон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Закон </w:t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</w:t>
            </w:r>
            <w:proofErr w:type="gramEnd"/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Статья 2 пункт 1 подпункт 7  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информация, причиняющая вред здоровью и (или) развитию детей, - информация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(в том числе содержащаяся в информационной продукции для детей)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распространение которой среди детей запрещено или ограничено в соответствии с настоящим Федеральным законом;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Статья 2 пункт 1 подпункт 7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информация, причиняющая вред здоровью или развитию детей - информацияраспространение которой среди детей запрещено илиограничено в соответствии с настоящим Законом;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Статья 2 пунт</w:t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подпункт 11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натуралистические изображение или описание - изображение или описание в любой форме и с исп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тей тела человека и (или) животного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Статья 2 пункт 1 подпункт 11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натуралистические изображение или описание-изображение илиописание в любой форме и с использованием любых средств человека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,ж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ивотного, действия (бездействия), события, явления, их последствий сфиксированием внимания на деталях, анатомических подробностях ифизиологических процессах;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Статья 2 пункт 1 подпункт 12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оборот информационной продукции - предоставление и (или) распространение информационной продукции, включая ее продажу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(в том числе распространение по подписке)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аренду, прокат, раздачу, выдачу из фондов общедоступных библиотек, публичный показ, публичное исполнение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 xml:space="preserve"> (в том числе посредством зрелищных мероприятий)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Статья 2 пункт 1 подпункт 12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оборот информационной продукции - предоставление илираспространение информационной продукции, включая ее продажу, аренду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рокат, раздачу, выдачу из фондов общедоступных библиотек, публичныйпоказ и публичное исполнение посредством эфирного или кабельноговещания, зрелищных мероприятий, размещение в информационно-телекоммуникационных сетях и сетях подвижной радиотелефонной связи;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Статья 3 пункт 2</w:t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сли международным договором, вступившим в установленном законом порядке в силу, участницей которых является Кыргызская Республика, установлены иные правила предусмотренные в настоящем Законе, применяются нормы международного договора.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Статья 4 пункт 2 .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Отсутствует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D17" w:rsidRPr="006B4D17" w:rsidRDefault="006B4D17" w:rsidP="006B4D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Статья 6 пункт 3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Классификация информационной продукции осуществляется в соответствии с требованиями настоящего Федерального 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закона по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следующим категориям информационной продукции:</w:t>
            </w:r>
          </w:p>
          <w:p w:rsidR="006B4D17" w:rsidRPr="006B4D17" w:rsidRDefault="006B4D17" w:rsidP="006B4D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1)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информационная продукция для детей, не достигших возраста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шести лет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B4D17" w:rsidRPr="006B4D17" w:rsidRDefault="006B4D17" w:rsidP="006B4D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информационная продукция для детей, достигших возраста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 xml:space="preserve"> шести лет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B4D17" w:rsidRPr="006B4D17" w:rsidRDefault="006B4D17" w:rsidP="006B4D17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информационная продукция для детей, достигших возраста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двенадцати лет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Статья 6 пункт 3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Классификация информационной продукции осуществляется всоответствии с требованиями настоящего Закона 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следующим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категорияминформационной продукции: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1)информационная продукция для детей, не достигших возраста семи лет;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2)информационная продукция для детей, достигших возраста семи лет;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3)информационная продукция для детей, достигших возраста четырнадцати лет;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Статья 11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пункт 4 подпункт 6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информации, распространяемой посредством информационно-телекоммуникационных сетей, в том числе сети "Интернет", кроме сетевых изданий;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пункт 4 подпункт 7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пункт 5</w:t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В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 xml:space="preserve">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Федерального закона.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Статья 11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пункт 4 подпункты 6, 7 – отсутствуют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пункт 5</w:t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начала демонстрации посредством зрелищного мероприятияинформационной продукции ей присваивается знак информационнойпродукции. В случае демонстрации нескольких видов информационнойпродукции для детей разных возрастных категорий указанный знак долженсоответствовать информационной продукции для детей старшей возрастнойкатегории.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  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Статья 12 пункт 1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подпункт 1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применительно к категории информационной продукции для детей, не достигших возраста шести лет, - в виде цифры "0" и знака "плюс";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подпункт 2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подпункт 3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 xml:space="preserve">применительно к категории информационной продукции для детей, достигших возраста двенадцати лет, - в виде цифры "12" и знака "плюс" и (или) текстового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lastRenderedPageBreak/>
              <w:t>предупреждения в виде словосочетания "для детей старше 12 лет";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подпункт 4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подпункт 6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пункт 2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среди детей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перед началом демонстрации фильма при кин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ункт  5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 xml:space="preserve">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языках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CF787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Статья 12 пункт 1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Категория информационной продукции определяется в соответствиис требованиями статей 6-10 настоящего Закона и обозначается знакоминформационной продукции, размещаемым с соблюдением требованийнастоящей статьи и требований соответствующих технических регламентовее производителями или распространителями.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Подпункты отсутствуют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пункт 2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Производитель, распространитель информационной продукцииразмещают знак информационной продукции или текстовое предупреждениеоб ограничении ее распространения перед началом трансляциителепрограммы, телепередачи,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демонстрации фильма при кин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о-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 ивидеообслуживании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порядке, установленном уполномоченнымгосударственным органом в сфере защиты детей от информации, причиняющей вред их здоровью или развитию.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пункт 5 отсутствует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Статья 14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пункт 1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Доступ к информации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,р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ункт 2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Статья 14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Доступ детей к информации, распространяемой посредством информационно-телекоммуникационных сетей (в том числе сети Интернет) предоставляется операторами связи, оказывающими телематические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информации, причиняющей вред их здоровью или развитию.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Статья 17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пункт 2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ункт 3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ункт 4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 экспертных организаций: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подпункт 1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подпункт 2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фамилия, имя и (в случае, если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подпункт 3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подпункт 4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номер и дата выдачи аттестата аккредитации;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подпункт 5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подпункт 6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вид информационной продукции, экспертизу которой вправе осуществлять аккредитованный эксперт или аккредитованная экспертная организация;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подпункт 7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сведения о приостановлении или прекращении действия выданного аттестата аккредитации.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Статья 17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пункт 2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Юридические лица, индивидуальные предприниматели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бщественные объединения, иные некоммерческие организации, гражданевправе обращаться для проведения экспертизы информационной продукциив уполномоченный государственный орган в сфере защиты детей от информации, причиняющей вред их здоровью или развитию, который в срок не более чем десять днейпринимает решение о направлении указанного обращения эксперту,экспертам или в направлении указанного обращения эксперту, экспертам илив экспертную организацию.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пункт 3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Экспертиза информационной продукции проводится экспертом, экспертами или экспертными организациями, аккредитованными в установленном порядке уполномоченнымгосударственным органом в сфере защиты детей от информации, причиняющей вред их здоровью или развитию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ункт 4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Эксперт, эксперты или экспертные организации определяются уполномоченным государственным органом в сфере защиты детей от информации, причиняющей вред их здоровью или развитию, на основании метода случайной выборки с учетом вида информационной продукции, подлежащей экспертизе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ункт 5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Уполномоченный государственный орган в сфере защиты детей от информации, причиняющей вред их здоровью или развитию, выдает аттестаты аккредитации, приостанавливает или прекращает действие выданных аттестатов аккредитации, ведет реестр аккредитованных экспертов и экспертных организаций.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пункт 6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Экспертиза информационной продукции может проводиться двумя и более экспертами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одной специальности (комиссионная экспертиза) или разных специальностей (комплексная экспертиза).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статья 18 пункт 4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В течение пяти дней после подписания экспертного заключения оно направляется в уполномоченный государственный орган в сфере защиты детей от информации, причиняющий вред их здоровью или развитию.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статья 18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2D3038"/>
                <w:sz w:val="20"/>
                <w:szCs w:val="20"/>
                <w:shd w:val="clear" w:color="auto" w:fill="FFFFFF"/>
              </w:rPr>
              <w:t xml:space="preserve">пункт 4 </w:t>
            </w:r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t>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</w:t>
            </w:r>
            <w:proofErr w:type="gramStart"/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2D3038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b/>
                <w:bCs/>
                <w:color w:val="2D3038"/>
                <w:sz w:val="20"/>
                <w:szCs w:val="20"/>
                <w:shd w:val="clear" w:color="auto" w:fill="FFFFFF"/>
              </w:rPr>
              <w:t xml:space="preserve">ункт 5 </w:t>
            </w:r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t>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</w:t>
            </w:r>
            <w:proofErr w:type="gramStart"/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shd w:val="clear" w:color="auto" w:fill="FFFFFF"/>
              </w:rPr>
              <w:t xml:space="preserve">ункт 6 </w:t>
            </w:r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t xml:space="preserve">Повторное проведение экспертизы конкретной информационной продукции допускается в порядке, установленном процессуальным законодательством, при </w:t>
            </w:r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lastRenderedPageBreak/>
              <w:t>рассмотрении судом споров, связанных с результатами проведенной экспертизы информационной продукции.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Статья 20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2D3038"/>
                <w:sz w:val="20"/>
                <w:szCs w:val="20"/>
                <w:shd w:val="clear" w:color="auto" w:fill="FFFFFF"/>
              </w:rPr>
              <w:t xml:space="preserve">пункт 1 </w:t>
            </w:r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t>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осуществляется федеральным органом исполнительной власти, уполномоченным Правительством Российской Федерации</w:t>
            </w:r>
            <w:proofErr w:type="gramStart"/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shd w:val="clear" w:color="auto" w:fill="FFFFFF"/>
              </w:rPr>
              <w:t>ункт 2</w:t>
            </w:r>
            <w:r w:rsidRPr="006B4D17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t>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осуществляется с 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Статья 20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Государственный надзор и контроль за соблюдением законодательства Кыргызской Республики о защите детей от информации, причиняющей вред их здоровью и развитию, осуществляются </w:t>
            </w:r>
            <w:proofErr w:type="gramStart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соответствующими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уполномоченнымигосударственными органамиКыргызской Республики.</w:t>
            </w:r>
          </w:p>
        </w:tc>
      </w:tr>
      <w:tr w:rsidR="006B4D17" w:rsidRPr="006B4D17" w:rsidTr="006B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Статья 21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пункт 2</w:t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color w:val="2D3038"/>
                <w:sz w:val="20"/>
                <w:szCs w:val="20"/>
                <w:shd w:val="clear" w:color="auto" w:fill="FFFFFF"/>
              </w:rPr>
              <w:t>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4D17" w:rsidRPr="006B4D17" w:rsidRDefault="006B4D17" w:rsidP="006B4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Статья 21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пункт 2</w:t>
            </w:r>
            <w:proofErr w:type="gramStart"/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 осуществлении общественного контроля общественныеобъединения и иные некоммерческие организации, граждане вправе: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подпункт 1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осуществлять мониторинг оборота информационной продукции и доступа детей к информации, в том числе посредством создания «горячих линий»;</w:t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подпункт 2 </w:t>
            </w:r>
            <w:r w:rsidRPr="006B4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обращаться в уполномоченный государственный орган в сфере защиты детей от информации, причиняющий вред их здоровью или развитию, для проведения экспертизы информационной продукции в соответствии с требованиями настоящего Закона.</w:t>
            </w:r>
          </w:p>
        </w:tc>
      </w:tr>
    </w:tbl>
    <w:p w:rsidR="005C2B94" w:rsidRDefault="006B4D17">
      <w:r w:rsidRPr="006B4D1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B4D1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_GoBack"/>
      <w:bookmarkEnd w:id="0"/>
    </w:p>
    <w:sectPr w:rsidR="005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059F"/>
    <w:multiLevelType w:val="multilevel"/>
    <w:tmpl w:val="8C46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7"/>
    <w:rsid w:val="0026477C"/>
    <w:rsid w:val="006B4D17"/>
    <w:rsid w:val="0090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6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6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2012-09-10T09:37:00Z</dcterms:created>
  <dcterms:modified xsi:type="dcterms:W3CDTF">2012-09-10T09:46:00Z</dcterms:modified>
</cp:coreProperties>
</file>